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B3A5" w14:textId="77777777" w:rsidR="003753A9" w:rsidRDefault="003753A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41" w:rightFromText="141" w:bottomFromText="160" w:vertAnchor="text" w:tblpX="1623"/>
        <w:tblW w:w="6390" w:type="dxa"/>
        <w:tblInd w:w="0" w:type="dxa"/>
        <w:tblLayout w:type="fixed"/>
        <w:tblLook w:val="0000" w:firstRow="0" w:lastRow="0" w:firstColumn="0" w:lastColumn="0" w:noHBand="0" w:noVBand="0"/>
      </w:tblPr>
      <w:tblGrid>
        <w:gridCol w:w="5289"/>
        <w:gridCol w:w="1101"/>
      </w:tblGrid>
      <w:tr w:rsidR="003753A9" w14:paraId="440B99A1" w14:textId="77777777">
        <w:trPr>
          <w:trHeight w:val="2683"/>
        </w:trPr>
        <w:tc>
          <w:tcPr>
            <w:tcW w:w="5289" w:type="dxa"/>
          </w:tcPr>
          <w:p w14:paraId="5003ABF0" w14:textId="77777777" w:rsidR="003753A9" w:rsidRDefault="00000000">
            <w:pPr>
              <w:pBdr>
                <w:top w:val="nil"/>
                <w:left w:val="nil"/>
                <w:bottom w:val="nil"/>
                <w:right w:val="nil"/>
                <w:between w:val="nil"/>
              </w:pBdr>
              <w:spacing w:after="160" w:line="252" w:lineRule="auto"/>
              <w:jc w:val="center"/>
              <w:rPr>
                <w:rFonts w:ascii="Verdana" w:eastAsia="Verdana" w:hAnsi="Verdana" w:cs="Verdana"/>
                <w:color w:val="000000"/>
                <w:sz w:val="16"/>
                <w:szCs w:val="16"/>
              </w:rPr>
            </w:pPr>
            <w:r>
              <w:rPr>
                <w:rFonts w:ascii="Calibri" w:eastAsia="Calibri" w:hAnsi="Calibri" w:cs="Calibri"/>
                <w:noProof/>
                <w:color w:val="000000"/>
                <w:sz w:val="16"/>
                <w:szCs w:val="16"/>
              </w:rPr>
              <w:drawing>
                <wp:inline distT="0" distB="0" distL="114300" distR="114300" wp14:anchorId="74C54F13" wp14:editId="50778270">
                  <wp:extent cx="429260" cy="495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29260" cy="495300"/>
                          </a:xfrm>
                          <a:prstGeom prst="rect">
                            <a:avLst/>
                          </a:prstGeom>
                          <a:ln/>
                        </pic:spPr>
                      </pic:pic>
                    </a:graphicData>
                  </a:graphic>
                </wp:inline>
              </w:drawing>
            </w:r>
            <w:r>
              <w:rPr>
                <w:rFonts w:ascii="Verdana" w:eastAsia="Verdana" w:hAnsi="Verdana" w:cs="Verdana"/>
                <w:color w:val="000000"/>
                <w:sz w:val="16"/>
                <w:szCs w:val="16"/>
              </w:rPr>
              <w:t xml:space="preserve"> </w:t>
            </w:r>
          </w:p>
          <w:p w14:paraId="37E7FEB7" w14:textId="77777777" w:rsidR="003753A9"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Ministero dell’Istruzione e del Merito</w:t>
            </w:r>
          </w:p>
          <w:p w14:paraId="5A2374DE" w14:textId="77777777" w:rsidR="003753A9"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Ufficio Scolastico Regionale per la Lombardia</w:t>
            </w:r>
          </w:p>
          <w:p w14:paraId="1D473FF1" w14:textId="77777777" w:rsidR="003753A9"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b/>
                <w:i/>
                <w:color w:val="000000"/>
                <w:sz w:val="16"/>
                <w:szCs w:val="16"/>
              </w:rPr>
              <w:t>ISTITUTO COMPRENSIVO STATALE COMPLETO “B. CROCE”</w:t>
            </w:r>
          </w:p>
          <w:p w14:paraId="516CCB7A" w14:textId="77777777" w:rsidR="003753A9"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SCUOLE DELL’INFANZIA – PRIMARIA – SECONDARIA I GRADO</w:t>
            </w:r>
          </w:p>
          <w:p w14:paraId="55C6F9BC" w14:textId="77777777" w:rsidR="003753A9" w:rsidRDefault="00000000">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color w:val="000000"/>
                <w:sz w:val="16"/>
                <w:szCs w:val="16"/>
              </w:rPr>
              <w:t>Via Marco Polo 9 – 21010 FERNO (VA)</w:t>
            </w:r>
          </w:p>
          <w:p w14:paraId="4D678926" w14:textId="77777777" w:rsidR="003753A9" w:rsidRPr="00323AD1" w:rsidRDefault="00000000">
            <w:pPr>
              <w:pBdr>
                <w:top w:val="nil"/>
                <w:left w:val="nil"/>
                <w:bottom w:val="nil"/>
                <w:right w:val="nil"/>
                <w:between w:val="nil"/>
              </w:pBdr>
              <w:jc w:val="center"/>
              <w:rPr>
                <w:rFonts w:ascii="Verdana" w:eastAsia="Verdana" w:hAnsi="Verdana" w:cs="Verdana"/>
                <w:color w:val="000000"/>
                <w:sz w:val="16"/>
                <w:szCs w:val="16"/>
                <w:lang w:val="en-GB"/>
              </w:rPr>
            </w:pPr>
            <w:r>
              <w:rPr>
                <w:rFonts w:ascii="Verdana" w:eastAsia="Verdana" w:hAnsi="Verdana" w:cs="Verdana"/>
                <w:i/>
                <w:color w:val="000000"/>
                <w:sz w:val="16"/>
                <w:szCs w:val="16"/>
              </w:rPr>
              <w:t xml:space="preserve">                   </w:t>
            </w:r>
            <w:r w:rsidRPr="00323AD1">
              <w:rPr>
                <w:rFonts w:ascii="Verdana" w:eastAsia="Verdana" w:hAnsi="Verdana" w:cs="Verdana"/>
                <w:i/>
                <w:color w:val="000000"/>
                <w:sz w:val="16"/>
                <w:szCs w:val="16"/>
                <w:lang w:val="en-GB"/>
              </w:rPr>
              <w:t>Cod. Min. VAIC86100R – Cod. Fisc. 91032280124</w:t>
            </w:r>
          </w:p>
        </w:tc>
        <w:tc>
          <w:tcPr>
            <w:tcW w:w="1101" w:type="dxa"/>
          </w:tcPr>
          <w:p w14:paraId="18054735" w14:textId="77777777" w:rsidR="003753A9" w:rsidRPr="00323AD1" w:rsidRDefault="003753A9">
            <w:pPr>
              <w:pBdr>
                <w:top w:val="nil"/>
                <w:left w:val="nil"/>
                <w:bottom w:val="nil"/>
                <w:right w:val="nil"/>
                <w:between w:val="nil"/>
              </w:pBdr>
              <w:spacing w:after="160" w:line="252" w:lineRule="auto"/>
              <w:jc w:val="center"/>
              <w:rPr>
                <w:rFonts w:ascii="Calibri" w:eastAsia="Calibri" w:hAnsi="Calibri" w:cs="Calibri"/>
                <w:color w:val="000000"/>
                <w:sz w:val="16"/>
                <w:szCs w:val="16"/>
                <w:lang w:val="en-GB"/>
              </w:rPr>
            </w:pPr>
          </w:p>
          <w:p w14:paraId="1D896BE9" w14:textId="77777777" w:rsidR="003753A9" w:rsidRPr="00323AD1" w:rsidRDefault="003753A9">
            <w:pPr>
              <w:pBdr>
                <w:top w:val="nil"/>
                <w:left w:val="nil"/>
                <w:bottom w:val="nil"/>
                <w:right w:val="nil"/>
                <w:between w:val="nil"/>
              </w:pBdr>
              <w:spacing w:after="160" w:line="252" w:lineRule="auto"/>
              <w:jc w:val="right"/>
              <w:rPr>
                <w:rFonts w:ascii="Calibri" w:eastAsia="Calibri" w:hAnsi="Calibri" w:cs="Calibri"/>
                <w:color w:val="000000"/>
                <w:sz w:val="16"/>
                <w:szCs w:val="16"/>
                <w:lang w:val="en-GB"/>
              </w:rPr>
            </w:pPr>
          </w:p>
          <w:p w14:paraId="3BFD9134" w14:textId="77777777" w:rsidR="003753A9" w:rsidRPr="00323AD1" w:rsidRDefault="003753A9">
            <w:pPr>
              <w:pBdr>
                <w:top w:val="nil"/>
                <w:left w:val="nil"/>
                <w:bottom w:val="nil"/>
                <w:right w:val="nil"/>
                <w:between w:val="nil"/>
              </w:pBdr>
              <w:spacing w:after="160" w:line="252" w:lineRule="auto"/>
              <w:jc w:val="right"/>
              <w:rPr>
                <w:rFonts w:ascii="Calibri" w:eastAsia="Calibri" w:hAnsi="Calibri" w:cs="Calibri"/>
                <w:color w:val="000000"/>
                <w:sz w:val="16"/>
                <w:szCs w:val="16"/>
                <w:lang w:val="en-GB"/>
              </w:rPr>
            </w:pPr>
          </w:p>
          <w:p w14:paraId="09B83D47" w14:textId="77777777" w:rsidR="003753A9" w:rsidRPr="00323AD1" w:rsidRDefault="003753A9">
            <w:pPr>
              <w:pBdr>
                <w:top w:val="nil"/>
                <w:left w:val="nil"/>
                <w:bottom w:val="nil"/>
                <w:right w:val="nil"/>
                <w:between w:val="nil"/>
              </w:pBdr>
              <w:spacing w:after="160" w:line="252" w:lineRule="auto"/>
              <w:jc w:val="right"/>
              <w:rPr>
                <w:rFonts w:ascii="Calibri" w:eastAsia="Calibri" w:hAnsi="Calibri" w:cs="Calibri"/>
                <w:color w:val="000000"/>
                <w:sz w:val="16"/>
                <w:szCs w:val="16"/>
                <w:lang w:val="en-GB"/>
              </w:rPr>
            </w:pPr>
          </w:p>
          <w:p w14:paraId="7C1387E8" w14:textId="77777777" w:rsidR="003753A9" w:rsidRDefault="00000000">
            <w:pPr>
              <w:pBdr>
                <w:top w:val="nil"/>
                <w:left w:val="nil"/>
                <w:bottom w:val="nil"/>
                <w:right w:val="nil"/>
                <w:between w:val="nil"/>
              </w:pBdr>
              <w:spacing w:after="160" w:line="252" w:lineRule="auto"/>
              <w:jc w:val="right"/>
              <w:rPr>
                <w:rFonts w:ascii="Calibri" w:eastAsia="Calibri" w:hAnsi="Calibri" w:cs="Calibri"/>
                <w:color w:val="000000"/>
                <w:sz w:val="16"/>
                <w:szCs w:val="16"/>
              </w:rPr>
            </w:pPr>
            <w:r>
              <w:rPr>
                <w:rFonts w:ascii="Calibri" w:eastAsia="Calibri" w:hAnsi="Calibri" w:cs="Calibri"/>
                <w:noProof/>
                <w:color w:val="000000"/>
                <w:sz w:val="16"/>
                <w:szCs w:val="16"/>
              </w:rPr>
              <w:drawing>
                <wp:inline distT="0" distB="0" distL="114300" distR="114300" wp14:anchorId="13D3EA51" wp14:editId="43D0E0EB">
                  <wp:extent cx="561975" cy="419100"/>
                  <wp:effectExtent l="0" t="0" r="0" b="0"/>
                  <wp:docPr id="3" name="image2.jpg" descr="Istituto Comprensivo di Ferno"/>
                  <wp:cNvGraphicFramePr/>
                  <a:graphic xmlns:a="http://schemas.openxmlformats.org/drawingml/2006/main">
                    <a:graphicData uri="http://schemas.openxmlformats.org/drawingml/2006/picture">
                      <pic:pic xmlns:pic="http://schemas.openxmlformats.org/drawingml/2006/picture">
                        <pic:nvPicPr>
                          <pic:cNvPr id="0" name="image2.jpg" descr="Istituto Comprensivo di Ferno"/>
                          <pic:cNvPicPr preferRelativeResize="0"/>
                        </pic:nvPicPr>
                        <pic:blipFill>
                          <a:blip r:embed="rId8"/>
                          <a:srcRect/>
                          <a:stretch>
                            <a:fillRect/>
                          </a:stretch>
                        </pic:blipFill>
                        <pic:spPr>
                          <a:xfrm>
                            <a:off x="0" y="0"/>
                            <a:ext cx="561975" cy="419100"/>
                          </a:xfrm>
                          <a:prstGeom prst="rect">
                            <a:avLst/>
                          </a:prstGeom>
                          <a:ln/>
                        </pic:spPr>
                      </pic:pic>
                    </a:graphicData>
                  </a:graphic>
                </wp:inline>
              </w:drawing>
            </w:r>
          </w:p>
          <w:p w14:paraId="1451DB8D" w14:textId="77777777" w:rsidR="003753A9" w:rsidRDefault="003753A9">
            <w:pPr>
              <w:pBdr>
                <w:top w:val="nil"/>
                <w:left w:val="nil"/>
                <w:bottom w:val="nil"/>
                <w:right w:val="nil"/>
                <w:between w:val="nil"/>
              </w:pBdr>
              <w:spacing w:after="160" w:line="252" w:lineRule="auto"/>
              <w:jc w:val="right"/>
              <w:rPr>
                <w:rFonts w:ascii="Calibri" w:eastAsia="Calibri" w:hAnsi="Calibri" w:cs="Calibri"/>
                <w:color w:val="000000"/>
                <w:sz w:val="16"/>
                <w:szCs w:val="16"/>
              </w:rPr>
            </w:pPr>
          </w:p>
          <w:p w14:paraId="236064E6" w14:textId="77777777" w:rsidR="003753A9" w:rsidRDefault="003753A9">
            <w:pPr>
              <w:pBdr>
                <w:top w:val="nil"/>
                <w:left w:val="nil"/>
                <w:bottom w:val="nil"/>
                <w:right w:val="nil"/>
                <w:between w:val="nil"/>
              </w:pBdr>
              <w:spacing w:after="160" w:line="252" w:lineRule="auto"/>
              <w:jc w:val="right"/>
              <w:rPr>
                <w:rFonts w:ascii="Verdana" w:eastAsia="Verdana" w:hAnsi="Verdana" w:cs="Verdana"/>
                <w:color w:val="000000"/>
                <w:sz w:val="16"/>
                <w:szCs w:val="16"/>
              </w:rPr>
            </w:pPr>
          </w:p>
        </w:tc>
      </w:tr>
    </w:tbl>
    <w:p w14:paraId="0C1199AC" w14:textId="77777777" w:rsidR="003753A9" w:rsidRDefault="00000000">
      <w:pPr>
        <w:pBdr>
          <w:top w:val="nil"/>
          <w:left w:val="nil"/>
          <w:bottom w:val="nil"/>
          <w:right w:val="nil"/>
          <w:between w:val="nil"/>
        </w:pBdr>
        <w:spacing w:after="160" w:line="252" w:lineRule="auto"/>
        <w:rPr>
          <w:rFonts w:ascii="Calibri" w:eastAsia="Calibri" w:hAnsi="Calibri" w:cs="Calibri"/>
          <w:color w:val="000000"/>
          <w:sz w:val="22"/>
          <w:szCs w:val="22"/>
        </w:rPr>
      </w:pPr>
      <w:r>
        <w:rPr>
          <w:rFonts w:ascii="Calibri" w:eastAsia="Calibri" w:hAnsi="Calibri" w:cs="Calibri"/>
          <w:color w:val="000000"/>
          <w:sz w:val="16"/>
          <w:szCs w:val="16"/>
        </w:rPr>
        <w:t xml:space="preserve">                                                                                                                          </w:t>
      </w:r>
    </w:p>
    <w:p w14:paraId="1A410958" w14:textId="77777777" w:rsidR="003753A9" w:rsidRDefault="00000000">
      <w:pPr>
        <w:pBdr>
          <w:top w:val="nil"/>
          <w:left w:val="nil"/>
          <w:bottom w:val="nil"/>
          <w:right w:val="nil"/>
          <w:between w:val="nil"/>
        </w:pBdr>
        <w:spacing w:after="160" w:line="252"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 </w:t>
      </w:r>
    </w:p>
    <w:p w14:paraId="4C102EBD" w14:textId="77777777" w:rsidR="003753A9" w:rsidRDefault="00000000">
      <w:pPr>
        <w:pBdr>
          <w:top w:val="nil"/>
          <w:left w:val="nil"/>
          <w:bottom w:val="nil"/>
          <w:right w:val="nil"/>
          <w:between w:val="nil"/>
        </w:pBdr>
        <w:spacing w:after="160" w:line="252" w:lineRule="auto"/>
        <w:jc w:val="center"/>
        <w:rPr>
          <w:rFonts w:ascii="Calibri" w:eastAsia="Calibri" w:hAnsi="Calibri" w:cs="Calibri"/>
          <w:color w:val="000000"/>
          <w:sz w:val="16"/>
          <w:szCs w:val="16"/>
        </w:rPr>
      </w:pPr>
      <w:r>
        <w:rPr>
          <w:rFonts w:ascii="Calibri" w:eastAsia="Calibri" w:hAnsi="Calibri" w:cs="Calibri"/>
          <w:color w:val="000000"/>
          <w:sz w:val="16"/>
          <w:szCs w:val="16"/>
        </w:rPr>
        <w:t xml:space="preserve">                              </w:t>
      </w:r>
    </w:p>
    <w:p w14:paraId="23DDE439" w14:textId="77777777" w:rsidR="003753A9" w:rsidRDefault="003753A9">
      <w:pPr>
        <w:pBdr>
          <w:top w:val="nil"/>
          <w:left w:val="nil"/>
          <w:bottom w:val="nil"/>
          <w:right w:val="nil"/>
          <w:between w:val="nil"/>
        </w:pBdr>
        <w:spacing w:after="160" w:line="252" w:lineRule="auto"/>
        <w:jc w:val="center"/>
        <w:rPr>
          <w:rFonts w:ascii="Calibri" w:eastAsia="Calibri" w:hAnsi="Calibri" w:cs="Calibri"/>
          <w:color w:val="000000"/>
          <w:sz w:val="16"/>
          <w:szCs w:val="16"/>
        </w:rPr>
      </w:pPr>
    </w:p>
    <w:p w14:paraId="12893733" w14:textId="77777777" w:rsidR="003753A9" w:rsidRDefault="003753A9">
      <w:pPr>
        <w:pBdr>
          <w:top w:val="nil"/>
          <w:left w:val="nil"/>
          <w:bottom w:val="nil"/>
          <w:right w:val="nil"/>
          <w:between w:val="nil"/>
        </w:pBdr>
        <w:spacing w:after="160" w:line="252" w:lineRule="auto"/>
        <w:jc w:val="center"/>
        <w:rPr>
          <w:rFonts w:ascii="Calibri" w:eastAsia="Calibri" w:hAnsi="Calibri" w:cs="Calibri"/>
          <w:color w:val="000000"/>
          <w:sz w:val="16"/>
          <w:szCs w:val="16"/>
        </w:rPr>
      </w:pPr>
    </w:p>
    <w:p w14:paraId="351766DC" w14:textId="77777777" w:rsidR="003753A9" w:rsidRDefault="003753A9">
      <w:pPr>
        <w:pBdr>
          <w:top w:val="nil"/>
          <w:left w:val="nil"/>
          <w:bottom w:val="nil"/>
          <w:right w:val="nil"/>
          <w:between w:val="nil"/>
        </w:pBdr>
        <w:spacing w:after="160" w:line="252" w:lineRule="auto"/>
        <w:rPr>
          <w:rFonts w:ascii="Calibri" w:eastAsia="Calibri" w:hAnsi="Calibri" w:cs="Calibri"/>
          <w:color w:val="000000"/>
          <w:sz w:val="22"/>
          <w:szCs w:val="22"/>
        </w:rPr>
      </w:pPr>
    </w:p>
    <w:p w14:paraId="5DD1DCC3" w14:textId="77777777" w:rsidR="003753A9" w:rsidRDefault="003753A9">
      <w:pPr>
        <w:pBdr>
          <w:top w:val="nil"/>
          <w:left w:val="nil"/>
          <w:bottom w:val="nil"/>
          <w:right w:val="nil"/>
          <w:between w:val="nil"/>
        </w:pBdr>
        <w:spacing w:after="160" w:line="252" w:lineRule="auto"/>
        <w:rPr>
          <w:rFonts w:ascii="Calibri" w:eastAsia="Calibri" w:hAnsi="Calibri" w:cs="Calibri"/>
          <w:color w:val="000000"/>
          <w:sz w:val="22"/>
          <w:szCs w:val="22"/>
        </w:rPr>
      </w:pPr>
    </w:p>
    <w:p w14:paraId="570F12AF" w14:textId="77777777" w:rsidR="003753A9" w:rsidRDefault="00000000">
      <w:pPr>
        <w:pBdr>
          <w:top w:val="nil"/>
          <w:left w:val="nil"/>
          <w:bottom w:val="nil"/>
          <w:right w:val="nil"/>
          <w:between w:val="nil"/>
        </w:pBdr>
        <w:spacing w:after="160" w:line="252" w:lineRule="auto"/>
        <w:jc w:val="center"/>
        <w:rPr>
          <w:color w:val="000000"/>
          <w:sz w:val="24"/>
          <w:szCs w:val="24"/>
        </w:rPr>
      </w:pPr>
      <w:r>
        <w:rPr>
          <w:b/>
          <w:color w:val="000000"/>
          <w:sz w:val="24"/>
          <w:szCs w:val="24"/>
        </w:rPr>
        <w:t>REGOLAMENTO PER LA SOMMINISTRAZIONE DI FARMACI SALVAVITA E INDISPENSABILI A SCUOLA</w:t>
      </w:r>
    </w:p>
    <w:p w14:paraId="784CA85A" w14:textId="77777777" w:rsidR="003753A9" w:rsidRDefault="00000000">
      <w:pPr>
        <w:numPr>
          <w:ilvl w:val="0"/>
          <w:numId w:val="1"/>
        </w:numPr>
        <w:pBdr>
          <w:top w:val="nil"/>
          <w:left w:val="nil"/>
          <w:bottom w:val="nil"/>
          <w:right w:val="nil"/>
          <w:between w:val="nil"/>
        </w:pBdr>
        <w:spacing w:after="120" w:line="252" w:lineRule="auto"/>
        <w:ind w:left="714" w:hanging="357"/>
        <w:jc w:val="both"/>
        <w:rPr>
          <w:color w:val="000000"/>
          <w:sz w:val="24"/>
          <w:szCs w:val="24"/>
        </w:rPr>
      </w:pPr>
      <w:r>
        <w:rPr>
          <w:b/>
          <w:color w:val="000000"/>
          <w:sz w:val="24"/>
          <w:szCs w:val="24"/>
        </w:rPr>
        <w:t>INTRODUZIONE E PRINCIPI GENERALI</w:t>
      </w:r>
    </w:p>
    <w:p w14:paraId="2FE36A4D"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L'istituzione scolastica si trova spesso a dover gestire situazioni delicate che riguardano la salute degli alunni, tra cui la necessità di somministrare farmaci durante l'orario scolastico. Questo regolamento nasce dalla consapevolezza che la scuola debba essere un ambiente inclusivo e sicuro per tutti gli studenti, compresi quelli affetti da patologie croniche che richiedono terapie farmacologiche specifiche.</w:t>
      </w:r>
    </w:p>
    <w:p w14:paraId="4271CB23"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 somministrazione di farmaci a scuola rappresenta un aspetto particolarmente sensibile dell'attività educativa, poiché deve bilanciare il diritto allo studio con la tutela della salute, nel rispetto delle competenze professionali e delle responsabilità di ciascun soggetto coinvolto. Il presente regolamento si propone di definire un percorso chiaro e condiviso che garantisca la sicurezza degli alunni e la serenità delle famiglie, fornendo al contempo adeguate tutele al personale scolastico.</w:t>
      </w:r>
    </w:p>
    <w:p w14:paraId="228ADC47"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 xml:space="preserve">La somministrazione di farmaci a scuola è riservata esclusivamente a situazioni di effettiva necessità medica, documentata attraverso certificazione sanitaria, </w:t>
      </w:r>
      <w:proofErr w:type="gramStart"/>
      <w:r>
        <w:rPr>
          <w:color w:val="000000"/>
          <w:sz w:val="24"/>
          <w:szCs w:val="24"/>
        </w:rPr>
        <w:t>e  tale</w:t>
      </w:r>
      <w:proofErr w:type="gramEnd"/>
      <w:r>
        <w:rPr>
          <w:color w:val="000000"/>
          <w:sz w:val="24"/>
          <w:szCs w:val="24"/>
        </w:rPr>
        <w:t xml:space="preserve"> intervento non deve mai richiedere competenze specialistiche di tipo sanitario da parte del personale scolastico. Questo principio costituisce la base su cui si fonda l'intera procedura, garantendo che ogni intervento avvenga in condizioni di sicurezza e nel rispetto delle competenze professionali di ciascuno.</w:t>
      </w:r>
    </w:p>
    <w:p w14:paraId="44314C1C" w14:textId="77777777" w:rsidR="003753A9" w:rsidRDefault="00000000">
      <w:pPr>
        <w:numPr>
          <w:ilvl w:val="0"/>
          <w:numId w:val="1"/>
        </w:numPr>
        <w:pBdr>
          <w:top w:val="nil"/>
          <w:left w:val="nil"/>
          <w:bottom w:val="nil"/>
          <w:right w:val="nil"/>
          <w:between w:val="nil"/>
        </w:pBdr>
        <w:spacing w:after="120" w:line="252" w:lineRule="auto"/>
        <w:jc w:val="both"/>
        <w:rPr>
          <w:color w:val="000000"/>
          <w:sz w:val="24"/>
          <w:szCs w:val="24"/>
        </w:rPr>
      </w:pPr>
      <w:r>
        <w:rPr>
          <w:b/>
          <w:color w:val="000000"/>
          <w:sz w:val="24"/>
          <w:szCs w:val="24"/>
        </w:rPr>
        <w:t>QUADRO NORMATIVO E RIFERIMENTI</w:t>
      </w:r>
    </w:p>
    <w:p w14:paraId="3241B07B" w14:textId="77777777" w:rsidR="003753A9" w:rsidRDefault="00000000">
      <w:pPr>
        <w:pBdr>
          <w:top w:val="nil"/>
          <w:left w:val="nil"/>
          <w:bottom w:val="nil"/>
          <w:right w:val="nil"/>
          <w:between w:val="nil"/>
        </w:pBdr>
        <w:spacing w:after="120" w:line="252" w:lineRule="auto"/>
        <w:jc w:val="both"/>
        <w:rPr>
          <w:color w:val="000000"/>
          <w:sz w:val="24"/>
          <w:szCs w:val="24"/>
        </w:rPr>
      </w:pPr>
      <w:bookmarkStart w:id="0" w:name="_ojv14nvue7kx" w:colFirst="0" w:colLast="0"/>
      <w:bookmarkEnd w:id="0"/>
      <w:r>
        <w:rPr>
          <w:color w:val="000000"/>
          <w:sz w:val="24"/>
          <w:szCs w:val="24"/>
        </w:rPr>
        <w:t xml:space="preserve">La disciplina della somministrazione di farmaci a scuola si inquadra all'interno di un sistema normativo complesso che trova i suoi riferimenti principali nelle </w:t>
      </w:r>
      <w:r>
        <w:rPr>
          <w:b/>
          <w:color w:val="000000"/>
          <w:sz w:val="24"/>
          <w:szCs w:val="24"/>
        </w:rPr>
        <w:t>Linee guida congiunte del Ministero dell'Istruzione e del Ministero della Salute del 25 novembre 2005</w:t>
      </w:r>
      <w:r>
        <w:rPr>
          <w:color w:val="000000"/>
          <w:sz w:val="24"/>
          <w:szCs w:val="24"/>
        </w:rPr>
        <w:t xml:space="preserve">, successivamente integrate dalla </w:t>
      </w:r>
      <w:r>
        <w:rPr>
          <w:b/>
          <w:color w:val="000000"/>
          <w:sz w:val="24"/>
          <w:szCs w:val="24"/>
        </w:rPr>
        <w:t>Circolare Ministeriale n. 321 del 10 gennaio 2017 e dal Protocollo quadro d’intesa tra Regione Lombardia e USR per la Lombardia per la somministrazione dei farmaci e/o gestione dispositivi medici a scuola del luglio 2025</w:t>
      </w:r>
      <w:r>
        <w:rPr>
          <w:color w:val="000000"/>
          <w:sz w:val="24"/>
          <w:szCs w:val="24"/>
        </w:rPr>
        <w:t>. Questi documenti stabiliscono che la somministrazione deve avvenire sulla base di specifiche autorizzazioni mediche e familiari, senza richiedere il possesso di cognizioni specialistiche di tipo sanitario né l'esercizio di discrezionalità tecnica da parte degli operatori scolastici.</w:t>
      </w:r>
    </w:p>
    <w:p w14:paraId="1D1C1E26"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 xml:space="preserve">Il quadro normativo si completa con le disposizioni in materia di sicurezza sui luoghi di lavoro contenute nel </w:t>
      </w:r>
      <w:r>
        <w:rPr>
          <w:b/>
          <w:color w:val="000000"/>
          <w:sz w:val="24"/>
          <w:szCs w:val="24"/>
        </w:rPr>
        <w:t>Decreto Legislativo 81/2008</w:t>
      </w:r>
      <w:r>
        <w:rPr>
          <w:color w:val="000000"/>
          <w:sz w:val="24"/>
          <w:szCs w:val="24"/>
        </w:rPr>
        <w:t xml:space="preserve">, che prevede la formazione del personale addetto al primo soccorso, e con il </w:t>
      </w:r>
      <w:r>
        <w:rPr>
          <w:b/>
          <w:color w:val="000000"/>
          <w:sz w:val="24"/>
          <w:szCs w:val="24"/>
        </w:rPr>
        <w:t>Regolamento Europeo sulla protezione dei dati personali (GDPR 2016/679)</w:t>
      </w:r>
      <w:r>
        <w:rPr>
          <w:color w:val="000000"/>
          <w:sz w:val="24"/>
          <w:szCs w:val="24"/>
        </w:rPr>
        <w:t xml:space="preserve">, che disciplina il trattamento delle informazioni sanitarie degli alunni. </w:t>
      </w:r>
    </w:p>
    <w:p w14:paraId="5ABD6BDF" w14:textId="77777777" w:rsidR="003753A9" w:rsidRDefault="003753A9">
      <w:pPr>
        <w:pBdr>
          <w:top w:val="nil"/>
          <w:left w:val="nil"/>
          <w:bottom w:val="nil"/>
          <w:right w:val="nil"/>
          <w:between w:val="nil"/>
        </w:pBdr>
        <w:spacing w:after="160" w:line="252" w:lineRule="auto"/>
        <w:jc w:val="both"/>
        <w:rPr>
          <w:color w:val="000000"/>
          <w:sz w:val="24"/>
          <w:szCs w:val="24"/>
        </w:rPr>
      </w:pPr>
    </w:p>
    <w:p w14:paraId="2FE04293" w14:textId="77777777" w:rsidR="003753A9" w:rsidRDefault="00000000">
      <w:pPr>
        <w:numPr>
          <w:ilvl w:val="0"/>
          <w:numId w:val="1"/>
        </w:numPr>
        <w:pBdr>
          <w:top w:val="nil"/>
          <w:left w:val="nil"/>
          <w:bottom w:val="nil"/>
          <w:right w:val="nil"/>
          <w:between w:val="nil"/>
        </w:pBdr>
        <w:spacing w:after="160" w:line="252" w:lineRule="auto"/>
        <w:jc w:val="both"/>
        <w:rPr>
          <w:color w:val="000000"/>
          <w:sz w:val="24"/>
          <w:szCs w:val="24"/>
        </w:rPr>
      </w:pPr>
      <w:r>
        <w:rPr>
          <w:b/>
          <w:color w:val="000000"/>
          <w:sz w:val="24"/>
          <w:szCs w:val="24"/>
        </w:rPr>
        <w:lastRenderedPageBreak/>
        <w:t>AMBITO DI APPLICAZIONE E TIPOLOGIE DI INTERVENTO</w:t>
      </w:r>
    </w:p>
    <w:p w14:paraId="4966BED8" w14:textId="77777777" w:rsidR="003753A9" w:rsidRDefault="00000000">
      <w:pPr>
        <w:pBdr>
          <w:top w:val="nil"/>
          <w:left w:val="nil"/>
          <w:bottom w:val="nil"/>
          <w:right w:val="nil"/>
          <w:between w:val="nil"/>
        </w:pBdr>
        <w:spacing w:line="252" w:lineRule="auto"/>
        <w:jc w:val="both"/>
        <w:rPr>
          <w:color w:val="000000"/>
          <w:sz w:val="24"/>
          <w:szCs w:val="24"/>
        </w:rPr>
      </w:pPr>
      <w:r>
        <w:rPr>
          <w:color w:val="000000"/>
          <w:sz w:val="24"/>
          <w:szCs w:val="24"/>
        </w:rPr>
        <w:t>Il presente regolamento si applica a diverse tipologie di situazioni che possono presentarsi durante l'attività scolastica:</w:t>
      </w:r>
    </w:p>
    <w:p w14:paraId="05B43C37" w14:textId="77777777" w:rsidR="003753A9" w:rsidRDefault="00000000">
      <w:pPr>
        <w:numPr>
          <w:ilvl w:val="0"/>
          <w:numId w:val="2"/>
        </w:numPr>
        <w:pBdr>
          <w:top w:val="nil"/>
          <w:left w:val="nil"/>
          <w:bottom w:val="nil"/>
          <w:right w:val="nil"/>
          <w:between w:val="nil"/>
        </w:pBdr>
        <w:spacing w:line="252" w:lineRule="auto"/>
        <w:jc w:val="both"/>
        <w:rPr>
          <w:color w:val="000000"/>
          <w:sz w:val="24"/>
          <w:szCs w:val="24"/>
        </w:rPr>
      </w:pPr>
      <w:r>
        <w:rPr>
          <w:color w:val="000000"/>
          <w:sz w:val="24"/>
          <w:szCs w:val="24"/>
        </w:rPr>
        <w:t xml:space="preserve">la prima categoria riguarda la </w:t>
      </w:r>
      <w:r>
        <w:rPr>
          <w:b/>
          <w:color w:val="000000"/>
          <w:sz w:val="24"/>
          <w:szCs w:val="24"/>
        </w:rPr>
        <w:t>continuità terapeutica</w:t>
      </w:r>
      <w:r>
        <w:rPr>
          <w:color w:val="000000"/>
          <w:sz w:val="24"/>
          <w:szCs w:val="24"/>
        </w:rPr>
        <w:t>, ovvero la somministrazione programmata e improrogabile di farmaci per il trattamento di patologie croniche come il diabete, l'epilessia, le allergie gravi e l'asma. Questi casi richiedono una pianificazione accurata e la formazione specifica del personale coinvolto.</w:t>
      </w:r>
    </w:p>
    <w:p w14:paraId="6E76B1FD" w14:textId="77777777" w:rsidR="003753A9" w:rsidRDefault="00000000">
      <w:pPr>
        <w:numPr>
          <w:ilvl w:val="0"/>
          <w:numId w:val="2"/>
        </w:numPr>
        <w:pBdr>
          <w:top w:val="nil"/>
          <w:left w:val="nil"/>
          <w:bottom w:val="nil"/>
          <w:right w:val="nil"/>
          <w:between w:val="nil"/>
        </w:pBdr>
        <w:spacing w:line="252" w:lineRule="auto"/>
        <w:jc w:val="both"/>
        <w:rPr>
          <w:color w:val="000000"/>
          <w:sz w:val="24"/>
          <w:szCs w:val="24"/>
        </w:rPr>
      </w:pPr>
      <w:r>
        <w:rPr>
          <w:color w:val="000000"/>
          <w:sz w:val="24"/>
          <w:szCs w:val="24"/>
        </w:rPr>
        <w:t xml:space="preserve">La seconda categoria comprende le </w:t>
      </w:r>
      <w:r>
        <w:rPr>
          <w:b/>
          <w:color w:val="000000"/>
          <w:sz w:val="24"/>
          <w:szCs w:val="24"/>
        </w:rPr>
        <w:t>somministrazioni di emergenza</w:t>
      </w:r>
      <w:r>
        <w:rPr>
          <w:color w:val="000000"/>
          <w:sz w:val="24"/>
          <w:szCs w:val="24"/>
        </w:rPr>
        <w:t>, che si rendono necessarie in seguito a manifestazioni acute correlate a patologie croniche già note. In queste situazioni, l'intervento deve essere immediato e seguire protocolli prestabiliti, sempre nel rispetto delle competenze del personale scolastico e con l'attivazione, quando necessario, dei servizi di emergenza sanitaria.</w:t>
      </w:r>
    </w:p>
    <w:p w14:paraId="5A9736F6" w14:textId="77777777" w:rsidR="003753A9" w:rsidRDefault="00000000">
      <w:pPr>
        <w:numPr>
          <w:ilvl w:val="0"/>
          <w:numId w:val="2"/>
        </w:numPr>
        <w:pBdr>
          <w:top w:val="nil"/>
          <w:left w:val="nil"/>
          <w:bottom w:val="nil"/>
          <w:right w:val="nil"/>
          <w:between w:val="nil"/>
        </w:pBdr>
        <w:spacing w:after="120" w:line="252" w:lineRule="auto"/>
        <w:ind w:left="714" w:hanging="357"/>
        <w:jc w:val="both"/>
        <w:rPr>
          <w:color w:val="000000"/>
          <w:sz w:val="24"/>
          <w:szCs w:val="24"/>
        </w:rPr>
      </w:pPr>
      <w:r>
        <w:rPr>
          <w:color w:val="000000"/>
          <w:sz w:val="24"/>
          <w:szCs w:val="24"/>
        </w:rPr>
        <w:t>Una terza modalità è rappresentata dall'</w:t>
      </w:r>
      <w:r>
        <w:rPr>
          <w:b/>
          <w:color w:val="000000"/>
          <w:sz w:val="24"/>
          <w:szCs w:val="24"/>
        </w:rPr>
        <w:t>auto-somministrazione assistita</w:t>
      </w:r>
      <w:r>
        <w:rPr>
          <w:color w:val="000000"/>
          <w:sz w:val="24"/>
          <w:szCs w:val="24"/>
        </w:rPr>
        <w:t>, che riguarda quegli alunni che, per età e grado di competenza, sono in grado di gestire autonomamente la propria terapia sotto la supervisione del personale scolastico. Questa modalità richiede una valutazione attenta delle capacità dell'alunno e un'autorizzazione specifica sia medica che genitoriale.</w:t>
      </w:r>
    </w:p>
    <w:p w14:paraId="7624658A"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Si precisa che il regolamento non si applica a farmaci che richiedono competenze sanitarie specialistiche, a situazioni non coperte da certificazione medica o a somministrazioni non autorizzate dai genitori. In tutti questi casi, la scuola si astiene dall'intervento.</w:t>
      </w:r>
    </w:p>
    <w:p w14:paraId="6D5847BB"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RUOLI E RESPONSABILITÀ DEI SOGGETTI COINVOLTI</w:t>
      </w:r>
    </w:p>
    <w:p w14:paraId="6EC4C0A6"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 gestione della somministrazione di farmaci a scuola coinvolge diversi soggetti, ciascuno con ruoli e responsabilità specifiche che devono essere chiaramente definite per garantire l'efficacia e la sicurezza dell'intero processo.</w:t>
      </w:r>
    </w:p>
    <w:p w14:paraId="0D1F99EB" w14:textId="77777777" w:rsidR="003753A9" w:rsidRDefault="00000000">
      <w:pPr>
        <w:pBdr>
          <w:top w:val="nil"/>
          <w:left w:val="nil"/>
          <w:bottom w:val="nil"/>
          <w:right w:val="nil"/>
          <w:between w:val="nil"/>
        </w:pBdr>
        <w:spacing w:line="252" w:lineRule="auto"/>
        <w:jc w:val="both"/>
        <w:rPr>
          <w:color w:val="000000"/>
          <w:sz w:val="24"/>
          <w:szCs w:val="24"/>
        </w:rPr>
      </w:pPr>
      <w:r>
        <w:rPr>
          <w:b/>
          <w:color w:val="000000"/>
          <w:sz w:val="24"/>
          <w:szCs w:val="24"/>
        </w:rPr>
        <w:t>Genitori/tutori</w:t>
      </w:r>
    </w:p>
    <w:p w14:paraId="1060785B" w14:textId="77777777" w:rsidR="003753A9" w:rsidRDefault="00000000">
      <w:pPr>
        <w:pBdr>
          <w:top w:val="nil"/>
          <w:left w:val="nil"/>
          <w:bottom w:val="nil"/>
          <w:right w:val="nil"/>
          <w:between w:val="nil"/>
        </w:pBdr>
        <w:spacing w:line="252" w:lineRule="auto"/>
        <w:jc w:val="both"/>
        <w:rPr>
          <w:color w:val="000000"/>
          <w:sz w:val="24"/>
          <w:szCs w:val="24"/>
        </w:rPr>
      </w:pPr>
      <w:r>
        <w:rPr>
          <w:color w:val="000000"/>
          <w:sz w:val="24"/>
          <w:szCs w:val="24"/>
        </w:rPr>
        <w:t>I genitori o i tutori legali rappresentano il punto di partenza dell'intera procedura e hanno la responsabilità di fornire alla scuola tutta la documentazione necessaria. Devono presentare una richiesta formale accompagnata da certificazione medica e piano terapeutico dettagliato, garantendo contestualmente la disponibilità di recapiti telefonici sempre attivi per le emergenze. La loro responsabilità si estende anche alla fornitura dei farmaci in confezione integra e di tutti i presidi necessari per la somministrazione, nonché al tempestivo aggiornamento della scuola su eventuali variazioni del piano terapeutico.</w:t>
      </w:r>
    </w:p>
    <w:p w14:paraId="5FF6066F"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Un aspetto cruciale del ruolo genitoriale è rappresentato dalle dichiarazioni che devono accompagnare la richiesta. I genitori devono dichiarare di essere consapevoli che il personale scolastico non possiede competenze sanitarie specifiche, autorizzare esplicitamente la somministrazione sollevando il personale da responsabilità derivanti da tale intervento, e impegnarsi a mantenere costantemente rifornita la scuola di farmaci e presidi necessari.</w:t>
      </w:r>
    </w:p>
    <w:p w14:paraId="7C61C62F" w14:textId="77777777" w:rsidR="003753A9" w:rsidRDefault="00000000">
      <w:pPr>
        <w:pBdr>
          <w:top w:val="nil"/>
          <w:left w:val="nil"/>
          <w:bottom w:val="nil"/>
          <w:right w:val="nil"/>
          <w:between w:val="nil"/>
        </w:pBdr>
        <w:spacing w:line="252" w:lineRule="auto"/>
        <w:jc w:val="both"/>
        <w:rPr>
          <w:color w:val="000000"/>
          <w:sz w:val="24"/>
          <w:szCs w:val="24"/>
        </w:rPr>
      </w:pPr>
      <w:r>
        <w:rPr>
          <w:b/>
          <w:color w:val="000000"/>
          <w:sz w:val="24"/>
          <w:szCs w:val="24"/>
        </w:rPr>
        <w:t>Medico</w:t>
      </w:r>
    </w:p>
    <w:p w14:paraId="4DFCEE90"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Il medico curante riveste un ruolo fondamentale nella definizione del quadro clinico e terapeutico. La sua responsabilità si concretizza nella certificazione dello stato di malattia e della necessità imprescindibile di somministrazione in orario scolastico, nella redazione di un piano terapeutico dettagliato che specifichi tempi, modi e dosaggi, e nell'attestazione che la somministrazione possa essere effettuata da personale non sanitario senza rischi per l'alunno. </w:t>
      </w:r>
    </w:p>
    <w:p w14:paraId="7B58DCF5" w14:textId="77777777" w:rsidR="003753A9" w:rsidRDefault="00000000">
      <w:pPr>
        <w:pBdr>
          <w:top w:val="nil"/>
          <w:left w:val="nil"/>
          <w:bottom w:val="nil"/>
          <w:right w:val="nil"/>
          <w:between w:val="nil"/>
        </w:pBdr>
        <w:spacing w:line="252" w:lineRule="auto"/>
        <w:jc w:val="both"/>
        <w:rPr>
          <w:color w:val="000000"/>
          <w:sz w:val="24"/>
          <w:szCs w:val="24"/>
        </w:rPr>
      </w:pPr>
      <w:r>
        <w:rPr>
          <w:b/>
          <w:color w:val="000000"/>
          <w:sz w:val="24"/>
          <w:szCs w:val="24"/>
        </w:rPr>
        <w:t>Dirigente Scolastico</w:t>
      </w:r>
    </w:p>
    <w:p w14:paraId="1B218A42"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Il Dirigente Scolastico assume il ruolo di coordinamento dell'intera procedura e ha la responsabilità di verificare la completezza della documentazione, valutare la fattibilità della richiesta in base alle </w:t>
      </w:r>
      <w:r>
        <w:rPr>
          <w:color w:val="000000"/>
          <w:sz w:val="24"/>
          <w:szCs w:val="24"/>
        </w:rPr>
        <w:lastRenderedPageBreak/>
        <w:t>risorse disponibili, individuare il personale idoneo e i locali appropriati, e autorizzare formalmente la somministrazione entro tempi ragionevoli. La sua responsabilità si estende anche alla garanzia della privacy e della sicurezza di tutti i soggetti coinvolti.</w:t>
      </w:r>
    </w:p>
    <w:p w14:paraId="70C1C523" w14:textId="77777777" w:rsidR="003753A9" w:rsidRDefault="00000000">
      <w:pPr>
        <w:pBdr>
          <w:top w:val="nil"/>
          <w:left w:val="nil"/>
          <w:bottom w:val="nil"/>
          <w:right w:val="nil"/>
          <w:between w:val="nil"/>
        </w:pBdr>
        <w:spacing w:line="252" w:lineRule="auto"/>
        <w:jc w:val="both"/>
        <w:rPr>
          <w:color w:val="000000"/>
          <w:sz w:val="24"/>
          <w:szCs w:val="24"/>
        </w:rPr>
      </w:pPr>
      <w:r>
        <w:rPr>
          <w:b/>
          <w:color w:val="000000"/>
          <w:sz w:val="24"/>
          <w:szCs w:val="24"/>
        </w:rPr>
        <w:t>Personale scolastico</w:t>
      </w:r>
    </w:p>
    <w:p w14:paraId="54B4D4A3"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Il personale scolastico che si rende disponibile per la somministrazione agisce sempre su base volontaria e dopo aver ricevuto formazione adeguata. La preferenza è accordata al personale già formato per il primo soccorso secondo le disposizioni del Decreto Legislativo 81/2008, ma la formazione specifica sulla somministrazione di farmaci rappresenta un elemento aggiuntivo e specialistico che deve essere garantito dall'istituzione scolastica in collaborazione con le strutture sanitarie territoriali.</w:t>
      </w:r>
    </w:p>
    <w:p w14:paraId="384E540C"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PROCEDURA OPERATIVA PER LA RICHIESTA E L'AUTORIZZAZIONE</w:t>
      </w:r>
    </w:p>
    <w:p w14:paraId="2FFB1A3D"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La procedura per l'attivazione della somministrazione di farmaci a scuola inizia con la presentazione di una </w:t>
      </w:r>
      <w:r>
        <w:rPr>
          <w:b/>
          <w:color w:val="000000"/>
          <w:sz w:val="24"/>
          <w:szCs w:val="24"/>
        </w:rPr>
        <w:t>richiesta formale da parte dei genitori</w:t>
      </w:r>
      <w:r>
        <w:rPr>
          <w:color w:val="000000"/>
          <w:sz w:val="24"/>
          <w:szCs w:val="24"/>
        </w:rPr>
        <w:t xml:space="preserve"> (allegato 1), corredata dalla </w:t>
      </w:r>
      <w:r>
        <w:rPr>
          <w:b/>
          <w:color w:val="000000"/>
          <w:sz w:val="24"/>
          <w:szCs w:val="24"/>
        </w:rPr>
        <w:t>documentazione medica completa</w:t>
      </w:r>
      <w:r>
        <w:rPr>
          <w:color w:val="000000"/>
          <w:sz w:val="24"/>
          <w:szCs w:val="24"/>
        </w:rPr>
        <w:t xml:space="preserve"> (allegato 2). </w:t>
      </w:r>
    </w:p>
    <w:p w14:paraId="4F2A73BF"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 documentazione richiesta comprende un modulo di richiesta sottoscritto da entrambi i genitori, nel quale devono essere specificate le modalità di contatto per le emergenze e le dichiarazioni di consenso e autorizzazione. Deve essere allegata una certificazione medica che attesti lo stato di malattia dell'alunno e specifichi se si tratta di farmaco salvavita o indispensabile, insieme a un piano terapeutico dettagliato che indichi il nome commerciale del farmaco, il principio attivo, la posologia, i tempi di somministrazione, le modalità di conservazione e gli eventi che richiedono l'intervento.</w:t>
      </w:r>
    </w:p>
    <w:p w14:paraId="2AA73B35"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Ricevuta la documentazione, il Dirigente Scolastico avvia la fase di valutazione che deve concludersi entro </w:t>
      </w:r>
      <w:proofErr w:type="gramStart"/>
      <w:r>
        <w:rPr>
          <w:color w:val="000000"/>
          <w:sz w:val="24"/>
          <w:szCs w:val="24"/>
        </w:rPr>
        <w:t>10</w:t>
      </w:r>
      <w:proofErr w:type="gramEnd"/>
      <w:r>
        <w:rPr>
          <w:color w:val="000000"/>
          <w:sz w:val="24"/>
          <w:szCs w:val="24"/>
        </w:rPr>
        <w:t xml:space="preserve"> giorni lavorativi e comprende la verifica della completezza e conformità della documentazione, l'accertamento della disponibilità di locali idonei per la conservazione e la somministrazione, l'individuazione del personale disponibile e formato, e la valutazione complessiva della fattibilità dell'intervento nelle condizioni di sicurezza richieste.</w:t>
      </w:r>
    </w:p>
    <w:p w14:paraId="6C972B68" w14:textId="77777777" w:rsidR="003753A9" w:rsidRDefault="00000000">
      <w:pPr>
        <w:pBdr>
          <w:top w:val="nil"/>
          <w:left w:val="nil"/>
          <w:bottom w:val="nil"/>
          <w:right w:val="nil"/>
          <w:between w:val="nil"/>
        </w:pBdr>
        <w:spacing w:line="252" w:lineRule="auto"/>
        <w:jc w:val="both"/>
        <w:rPr>
          <w:color w:val="000000"/>
          <w:sz w:val="24"/>
          <w:szCs w:val="24"/>
        </w:rPr>
      </w:pPr>
      <w:r>
        <w:rPr>
          <w:color w:val="000000"/>
          <w:sz w:val="24"/>
          <w:szCs w:val="24"/>
        </w:rPr>
        <w:t>L'esito della valutazione può essere di tre tipi:</w:t>
      </w:r>
    </w:p>
    <w:p w14:paraId="7E6915BC" w14:textId="77777777" w:rsidR="003753A9" w:rsidRDefault="00000000">
      <w:pPr>
        <w:numPr>
          <w:ilvl w:val="0"/>
          <w:numId w:val="3"/>
        </w:numPr>
        <w:pBdr>
          <w:top w:val="nil"/>
          <w:left w:val="nil"/>
          <w:bottom w:val="nil"/>
          <w:right w:val="nil"/>
          <w:between w:val="nil"/>
        </w:pBdr>
        <w:spacing w:line="252" w:lineRule="auto"/>
        <w:jc w:val="both"/>
        <w:rPr>
          <w:color w:val="000000"/>
          <w:sz w:val="24"/>
          <w:szCs w:val="24"/>
        </w:rPr>
      </w:pPr>
      <w:r>
        <w:rPr>
          <w:color w:val="000000"/>
          <w:sz w:val="24"/>
          <w:szCs w:val="24"/>
        </w:rPr>
        <w:t>accoglimento della richiesta con designazione del personale autorizzato;</w:t>
      </w:r>
    </w:p>
    <w:p w14:paraId="2073CF4D" w14:textId="77777777" w:rsidR="003753A9" w:rsidRDefault="00000000">
      <w:pPr>
        <w:numPr>
          <w:ilvl w:val="0"/>
          <w:numId w:val="3"/>
        </w:numPr>
        <w:pBdr>
          <w:top w:val="nil"/>
          <w:left w:val="nil"/>
          <w:bottom w:val="nil"/>
          <w:right w:val="nil"/>
          <w:between w:val="nil"/>
        </w:pBdr>
        <w:spacing w:line="252" w:lineRule="auto"/>
        <w:jc w:val="both"/>
        <w:rPr>
          <w:color w:val="000000"/>
          <w:sz w:val="24"/>
          <w:szCs w:val="24"/>
        </w:rPr>
      </w:pPr>
      <w:r>
        <w:rPr>
          <w:color w:val="000000"/>
          <w:sz w:val="24"/>
          <w:szCs w:val="24"/>
        </w:rPr>
        <w:t>autorizzazione temporanea dell'accesso dei genitori in attesa della formazione del personale;</w:t>
      </w:r>
    </w:p>
    <w:p w14:paraId="15E47625" w14:textId="77777777" w:rsidR="003753A9" w:rsidRDefault="00000000">
      <w:pPr>
        <w:numPr>
          <w:ilvl w:val="0"/>
          <w:numId w:val="3"/>
        </w:numPr>
        <w:pBdr>
          <w:top w:val="nil"/>
          <w:left w:val="nil"/>
          <w:bottom w:val="nil"/>
          <w:right w:val="nil"/>
          <w:between w:val="nil"/>
        </w:pBdr>
        <w:spacing w:line="252" w:lineRule="auto"/>
        <w:ind w:left="714" w:hanging="357"/>
        <w:jc w:val="both"/>
        <w:rPr>
          <w:color w:val="000000"/>
          <w:sz w:val="24"/>
          <w:szCs w:val="24"/>
        </w:rPr>
      </w:pPr>
      <w:r>
        <w:rPr>
          <w:color w:val="000000"/>
          <w:sz w:val="24"/>
          <w:szCs w:val="24"/>
        </w:rPr>
        <w:t>rigetto motivato della richiesta in caso di mancanza delle condizioni necessarie.</w:t>
      </w:r>
    </w:p>
    <w:p w14:paraId="7895339E" w14:textId="77777777" w:rsidR="003753A9" w:rsidRDefault="003753A9">
      <w:pPr>
        <w:pBdr>
          <w:top w:val="nil"/>
          <w:left w:val="nil"/>
          <w:bottom w:val="nil"/>
          <w:right w:val="nil"/>
          <w:between w:val="nil"/>
        </w:pBdr>
        <w:spacing w:line="252" w:lineRule="auto"/>
        <w:ind w:left="714"/>
        <w:jc w:val="both"/>
        <w:rPr>
          <w:color w:val="000000"/>
          <w:sz w:val="24"/>
          <w:szCs w:val="24"/>
        </w:rPr>
      </w:pPr>
    </w:p>
    <w:p w14:paraId="0EEA2DDC"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FORMAZIONE DEL PERSONALE E COMPETENZE RICHIESTE</w:t>
      </w:r>
    </w:p>
    <w:p w14:paraId="48EE1555"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 formazione del personale scolastico rappresenta un elemento fondamentale per garantire la sicurezza e l'efficacia della somministrazione di farmaci a scuola. Questa formazione può essere articolata su diversi livelli, partendo da un'informazione generale sulle patologie più comuni che richiedono interventi farmacologici durante l'orario scolastico, per arrivare a competenze specifiche sulla gestione di singoli farmaci e dispositivi medici.</w:t>
      </w:r>
    </w:p>
    <w:p w14:paraId="70B5317F"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 formazione generale può coinvolgere tutto il personale scolastico e ha l'obiettivo di sensibilizzare sui bisogni degli alunni con patologie croniche, fornire informazioni sui sintomi che possono richiedere interventi di emergenza, e illustrare le procedure di base per l'attivazione dei soccorsi e riconoscere e gestire situazioni di potenziale criticità.</w:t>
      </w:r>
    </w:p>
    <w:p w14:paraId="7238CA3F"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La formazione specifica, invece, è riservata al personale che si rende disponibile per la somministrazione di farmaci e deve essere organizzata in collaborazione con l’ASST. </w:t>
      </w:r>
    </w:p>
    <w:p w14:paraId="07B3CF7F" w14:textId="77777777" w:rsidR="003753A9" w:rsidRDefault="003753A9">
      <w:pPr>
        <w:pBdr>
          <w:top w:val="nil"/>
          <w:left w:val="nil"/>
          <w:bottom w:val="nil"/>
          <w:right w:val="nil"/>
          <w:between w:val="nil"/>
        </w:pBdr>
        <w:spacing w:after="120" w:line="252" w:lineRule="auto"/>
        <w:jc w:val="both"/>
        <w:rPr>
          <w:color w:val="000000"/>
          <w:sz w:val="24"/>
          <w:szCs w:val="24"/>
        </w:rPr>
      </w:pPr>
    </w:p>
    <w:p w14:paraId="182BF150"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GESTIONE DEI LOCALI E CONSERVAZIONE DEI FARMACI</w:t>
      </w:r>
    </w:p>
    <w:p w14:paraId="68D54A0D"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lastRenderedPageBreak/>
        <w:t>L’Istituto individua spazi appropriati che rispondano sia alle esigenze di conservazione dei farmaci sia alle necessità operative del personale autorizzato.</w:t>
      </w:r>
    </w:p>
    <w:p w14:paraId="5986B335"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La gestione operativa della conservazione prevede la verifica periodica delle scadenze, la registrazione di carichi e scarichi, e la sostituzione tempestiva dei farmaci utilizzati o scaduti. </w:t>
      </w:r>
    </w:p>
    <w:p w14:paraId="1F95D3F8"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In relazione alla somministrazione, saranno individuati locali che garantiscano condizioni di pulizia, privacy, tranquillità e siano facilmente raggiungibili dal luogo dove si trova normalmente l'alunno, al fine di minimizzare i tempi di intervento quando necessario. Tuttavia, nelle situazioni di emergenza l'intervento avverrà nel luogo dove si manifesta il problema, senza perdere tempo prezioso per spostare l'alunno.</w:t>
      </w:r>
    </w:p>
    <w:p w14:paraId="51F19128"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Lo smaltimento dei rifiuti derivanti dalla somministrazione dei farmaci avverrà nel rispetto delle normative ambientali e sanitarie vigenti.</w:t>
      </w:r>
    </w:p>
    <w:p w14:paraId="3B5A90FC"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PROCEDURE DI EMERGENZA E GESTIONE DELLE URGENZE</w:t>
      </w:r>
    </w:p>
    <w:p w14:paraId="1C78EB24"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In tutte le situazioni che presentano caratteri di urgenza o quando sussistono dubbi sulla gravità della situazione, il personale scolastico attiva il Numero Unico di Emergenza 112, fornendo informazioni precise sulla situazione dell'alunno, sui farmaci eventualmente somministrati, e sulle condizioni generali del paziente. Contemporaneamente, deve essere avvisata la famiglia attraverso i recapiti forniti all'atto della richiesta.</w:t>
      </w:r>
    </w:p>
    <w:p w14:paraId="65E18484"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 procedura di emergenza deve prevedere una catena di responsabilità chiara, che specifichi chi deve prendere le decisioni operative, chi deve effettuare le chiamate di soccorso, chi deve assistere l'alunno, e chi deve coordinare l'intervento complessivo. Questa organizzazione deve essere nota a tutto il personale e periodicamente verificata attraverso esercitazioni pratiche.</w:t>
      </w:r>
    </w:p>
    <w:p w14:paraId="17A59DE3"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ATTIVITÀ DIDATTICHE ESTERNE E SITUAZIONI PARTICOLARI</w:t>
      </w:r>
    </w:p>
    <w:p w14:paraId="47A6D073"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La pianificazione delle attività didattiche esterne o altre situazione particolari prevedono la verifica della presenza, tra il personale accompagnatore, di operatori formati per la somministrazione dei farmaci specifici di cui necessita l'alunno. </w:t>
      </w:r>
    </w:p>
    <w:p w14:paraId="6597B473"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I genitori verranno informati su, eventuali, rischi specifici che l’attività può comportare e sulle misure adottate per garantire la sicurezza del loro figlio.</w:t>
      </w:r>
    </w:p>
    <w:p w14:paraId="07F29678"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Nel caso in cui non sia possibile garantire la presenza di personale formato tra gli accompagnatori, o quando le condizioni dell'attività esterna presentano rischi particolari, può essere autorizzata la partecipazione dell'alunno accompagnato da un familiare o da una persona specificatamente delegata dai genitori. Questa soluzione, pur rappresentando una deroga alle modalità ordinarie, consente di non escludere l'alunno dalle attività educative/formative.</w:t>
      </w:r>
    </w:p>
    <w:p w14:paraId="00832249"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AUTO-SOMMINISTRAZIONE E TECNOLOGIE ASSISTIVE</w:t>
      </w:r>
    </w:p>
    <w:p w14:paraId="41C6EFD6"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L'auto-somministrazione deve essere formalizzata attraverso una certificazione medica specifica e un'autorizzazione esplicita dei genitori.</w:t>
      </w:r>
    </w:p>
    <w:p w14:paraId="07EBA9C2"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Anche quando l'alunno è autorizzato all'auto-somministrazione, il personale scolastico mantiene un ruolo di supervisione e supporto, garantendo che l'alunno abbia sempre accesso ai farmaci necessari, verificando che le procedure siano seguite correttamente, e intervenendo in caso di difficoltà o emergenze. La supervisione deve garantire la sicurezza dell'alunno. </w:t>
      </w:r>
    </w:p>
    <w:p w14:paraId="76DC1B37"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L’Istituto autorizza l’utilizzo di strumenti elettronici come smartphone qualora siano parte integrante della terapia.</w:t>
      </w:r>
    </w:p>
    <w:p w14:paraId="750CFF78" w14:textId="77777777" w:rsidR="003753A9" w:rsidRDefault="003753A9">
      <w:pPr>
        <w:pBdr>
          <w:top w:val="nil"/>
          <w:left w:val="nil"/>
          <w:bottom w:val="nil"/>
          <w:right w:val="nil"/>
          <w:between w:val="nil"/>
        </w:pBdr>
        <w:spacing w:after="120" w:line="252" w:lineRule="auto"/>
        <w:jc w:val="both"/>
        <w:rPr>
          <w:color w:val="000000"/>
          <w:sz w:val="24"/>
          <w:szCs w:val="24"/>
        </w:rPr>
      </w:pPr>
    </w:p>
    <w:p w14:paraId="0EB18D6B"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lastRenderedPageBreak/>
        <w:t>PRIVACY E TRATTAMENTO DEI DATI PERSONALI</w:t>
      </w:r>
    </w:p>
    <w:p w14:paraId="4C8AE7DC"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La conservazione della documentazione sanitaria avverrà in luoghi sicuri e accessibili solo al personale autorizzato. La documentazione non verrà trasmessa ad altri istituti in caso di trasferimento dell'alunno senza il consenso esplicito dei genitori, e verrà conservata per il tempo strettamente necessario alle finalità per cui è stata raccolta.</w:t>
      </w:r>
    </w:p>
    <w:p w14:paraId="07EDC049" w14:textId="77777777" w:rsidR="003753A9" w:rsidRDefault="00000000">
      <w:pPr>
        <w:numPr>
          <w:ilvl w:val="0"/>
          <w:numId w:val="2"/>
        </w:numPr>
        <w:pBdr>
          <w:top w:val="nil"/>
          <w:left w:val="nil"/>
          <w:bottom w:val="nil"/>
          <w:right w:val="nil"/>
          <w:between w:val="nil"/>
        </w:pBdr>
        <w:spacing w:after="120" w:line="252" w:lineRule="auto"/>
        <w:jc w:val="both"/>
        <w:rPr>
          <w:color w:val="000000"/>
          <w:sz w:val="24"/>
          <w:szCs w:val="24"/>
        </w:rPr>
      </w:pPr>
      <w:r>
        <w:rPr>
          <w:b/>
          <w:color w:val="000000"/>
          <w:sz w:val="24"/>
          <w:szCs w:val="24"/>
        </w:rPr>
        <w:t>DISPOSIZIONI FINALI E ALLEGATI</w:t>
      </w:r>
    </w:p>
    <w:p w14:paraId="46F6706F"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Il presente regolamento entra in vigore a partire dalla sua approvazione da parte del Consiglio di Istituto e sostituisce ogni precedente disposizione in materia di somministrazione di farmaci a scuola. Le procedure qui descritte non ammettono deroghe, salvo situazioni eccezionali che devono essere valutate caso per caso dal Dirigente Scolastico in accordo con le autorità sanitarie competenti.</w:t>
      </w:r>
    </w:p>
    <w:p w14:paraId="774429D6"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Il regolamento sarà aggiornato periodicamente per tener conto dell'evoluzione normativa, dell'esperienza maturata nella sua applicazione, e delle indicazioni che potranno provenire dalle autorità sanitarie o scolastiche competenti. Ogni modifica dovrà essere approvata dal Consiglio di Istituto e tempestivamente comunicata a tutti i soggetti interessati.</w:t>
      </w:r>
    </w:p>
    <w:p w14:paraId="0D05FCF1" w14:textId="77777777" w:rsidR="003753A9" w:rsidRDefault="00000000">
      <w:pPr>
        <w:pBdr>
          <w:top w:val="nil"/>
          <w:left w:val="nil"/>
          <w:bottom w:val="nil"/>
          <w:right w:val="nil"/>
          <w:between w:val="nil"/>
        </w:pBdr>
        <w:spacing w:after="120" w:line="252" w:lineRule="auto"/>
        <w:jc w:val="both"/>
        <w:rPr>
          <w:color w:val="000000"/>
          <w:sz w:val="24"/>
          <w:szCs w:val="24"/>
        </w:rPr>
      </w:pPr>
      <w:r>
        <w:rPr>
          <w:color w:val="000000"/>
          <w:sz w:val="24"/>
          <w:szCs w:val="24"/>
        </w:rPr>
        <w:t xml:space="preserve">Costituiscono parte integrante del presente regolamento tutti i moduli e la documentazione necessaria per l'attuazione delle procedure descritte, inclusi i moduli per la richiesta di somministrazione, i format per la certificazione medica e il piano terapeutico, le dichiarazioni di disponibilità del personale, i verbali di consegna dei farmaci, l'informativa privacy e i moduli per il consenso al trattamento dei dati, i registri per la documentazione delle somministrazioni, </w:t>
      </w:r>
    </w:p>
    <w:p w14:paraId="39C56951"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Il presente regolamento verrà diffuso e portato a conoscenza delle famiglie e del personale scolastico attraverso la pubblicazione sul sito Web dell’Istituto.</w:t>
      </w:r>
    </w:p>
    <w:p w14:paraId="65661201" w14:textId="77777777" w:rsidR="003753A9" w:rsidRDefault="00000000">
      <w:pPr>
        <w:pBdr>
          <w:top w:val="nil"/>
          <w:left w:val="nil"/>
          <w:bottom w:val="nil"/>
          <w:right w:val="nil"/>
          <w:between w:val="nil"/>
        </w:pBdr>
        <w:spacing w:after="160" w:line="252" w:lineRule="auto"/>
        <w:jc w:val="both"/>
        <w:rPr>
          <w:color w:val="000000"/>
          <w:sz w:val="24"/>
          <w:szCs w:val="24"/>
        </w:rPr>
      </w:pPr>
      <w:r>
        <w:rPr>
          <w:color w:val="000000"/>
          <w:sz w:val="24"/>
          <w:szCs w:val="24"/>
        </w:rPr>
        <w:t>Fanno parte del presente protocollo:</w:t>
      </w:r>
    </w:p>
    <w:p w14:paraId="17CD9871" w14:textId="77777777" w:rsidR="003753A9" w:rsidRDefault="00000000">
      <w:pPr>
        <w:pBdr>
          <w:top w:val="nil"/>
          <w:left w:val="nil"/>
          <w:bottom w:val="nil"/>
          <w:right w:val="nil"/>
          <w:between w:val="nil"/>
        </w:pBdr>
        <w:ind w:left="260" w:right="215" w:hanging="11"/>
        <w:rPr>
          <w:color w:val="000000"/>
          <w:sz w:val="24"/>
          <w:szCs w:val="24"/>
        </w:rPr>
      </w:pPr>
      <w:r>
        <w:rPr>
          <w:b/>
          <w:color w:val="000000"/>
          <w:sz w:val="24"/>
          <w:szCs w:val="24"/>
        </w:rPr>
        <w:t xml:space="preserve">Allegato – mod. 1 - </w:t>
      </w:r>
      <w:r>
        <w:rPr>
          <w:color w:val="000000"/>
          <w:sz w:val="24"/>
          <w:szCs w:val="24"/>
        </w:rPr>
        <w:t>Richiesta di somministrazione di farmaci salvavita o indispensabile in orario scolastico</w:t>
      </w:r>
    </w:p>
    <w:p w14:paraId="455DE5FE" w14:textId="77777777" w:rsidR="003753A9" w:rsidRDefault="00000000">
      <w:pPr>
        <w:pBdr>
          <w:top w:val="nil"/>
          <w:left w:val="nil"/>
          <w:bottom w:val="nil"/>
          <w:right w:val="nil"/>
          <w:between w:val="nil"/>
        </w:pBdr>
        <w:ind w:left="260" w:right="215" w:hanging="11"/>
        <w:rPr>
          <w:color w:val="000000"/>
          <w:sz w:val="24"/>
          <w:szCs w:val="24"/>
        </w:rPr>
      </w:pPr>
      <w:r>
        <w:rPr>
          <w:b/>
          <w:color w:val="000000"/>
          <w:sz w:val="24"/>
          <w:szCs w:val="24"/>
        </w:rPr>
        <w:t xml:space="preserve">Allegato – mod. 2 – </w:t>
      </w:r>
      <w:r>
        <w:rPr>
          <w:color w:val="000000"/>
          <w:sz w:val="24"/>
          <w:szCs w:val="24"/>
        </w:rPr>
        <w:t>Autorizzazione</w:t>
      </w:r>
      <w:r>
        <w:rPr>
          <w:b/>
          <w:color w:val="000000"/>
          <w:sz w:val="24"/>
          <w:szCs w:val="24"/>
        </w:rPr>
        <w:t xml:space="preserve"> e </w:t>
      </w:r>
      <w:r>
        <w:rPr>
          <w:color w:val="000000"/>
          <w:sz w:val="24"/>
          <w:szCs w:val="24"/>
        </w:rPr>
        <w:t>prescrizione medica per la somministrazione di farmaci in orario scolastico</w:t>
      </w:r>
    </w:p>
    <w:p w14:paraId="3E4D0AEE" w14:textId="77777777" w:rsidR="003753A9" w:rsidRDefault="00000000">
      <w:pPr>
        <w:pBdr>
          <w:top w:val="nil"/>
          <w:left w:val="nil"/>
          <w:bottom w:val="nil"/>
          <w:right w:val="nil"/>
          <w:between w:val="nil"/>
        </w:pBdr>
        <w:ind w:left="260" w:right="215" w:hanging="11"/>
        <w:rPr>
          <w:color w:val="000000"/>
          <w:sz w:val="24"/>
          <w:szCs w:val="24"/>
        </w:rPr>
      </w:pPr>
      <w:r>
        <w:rPr>
          <w:b/>
          <w:color w:val="000000"/>
          <w:sz w:val="24"/>
          <w:szCs w:val="24"/>
        </w:rPr>
        <w:t xml:space="preserve">Allegato – mod. 3 - </w:t>
      </w:r>
      <w:r>
        <w:rPr>
          <w:color w:val="000000"/>
          <w:sz w:val="24"/>
          <w:szCs w:val="24"/>
        </w:rPr>
        <w:t>Informativa e consenso privacy</w:t>
      </w:r>
    </w:p>
    <w:p w14:paraId="2CA91525"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6D9CE742"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3760BF5F"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159A64AC"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5F14E70F" w14:textId="77777777" w:rsidR="003753A9" w:rsidRDefault="00000000">
      <w:pPr>
        <w:pBdr>
          <w:top w:val="nil"/>
          <w:left w:val="nil"/>
          <w:bottom w:val="nil"/>
          <w:right w:val="nil"/>
          <w:between w:val="nil"/>
        </w:pBdr>
        <w:ind w:left="3538" w:firstLine="709"/>
        <w:jc w:val="center"/>
        <w:rPr>
          <w:rFonts w:ascii="Verdana" w:eastAsia="Verdana" w:hAnsi="Verdana" w:cs="Verdana"/>
          <w:color w:val="000000"/>
          <w:sz w:val="22"/>
          <w:szCs w:val="22"/>
        </w:rPr>
      </w:pPr>
      <w:r>
        <w:rPr>
          <w:rFonts w:ascii="Verdana" w:eastAsia="Verdana" w:hAnsi="Verdana" w:cs="Verdana"/>
          <w:color w:val="000000"/>
          <w:sz w:val="22"/>
          <w:szCs w:val="22"/>
        </w:rPr>
        <w:t>IL DIRIGENTE SCOLASTICO</w:t>
      </w:r>
    </w:p>
    <w:p w14:paraId="3FF11CB7" w14:textId="77777777" w:rsidR="003753A9" w:rsidRDefault="00000000">
      <w:pPr>
        <w:pBdr>
          <w:top w:val="nil"/>
          <w:left w:val="nil"/>
          <w:bottom w:val="nil"/>
          <w:right w:val="nil"/>
          <w:between w:val="nil"/>
        </w:pBdr>
        <w:ind w:left="3538" w:firstLine="709"/>
        <w:jc w:val="center"/>
        <w:rPr>
          <w:rFonts w:ascii="Verdana" w:eastAsia="Verdana" w:hAnsi="Verdana" w:cs="Verdana"/>
          <w:color w:val="000000"/>
          <w:sz w:val="22"/>
          <w:szCs w:val="22"/>
        </w:rPr>
      </w:pPr>
      <w:r>
        <w:rPr>
          <w:rFonts w:ascii="Verdana" w:eastAsia="Verdana" w:hAnsi="Verdana" w:cs="Verdana"/>
          <w:color w:val="000000"/>
          <w:sz w:val="22"/>
          <w:szCs w:val="22"/>
        </w:rPr>
        <w:t>Dott.ssa Susi Ortolani</w:t>
      </w:r>
    </w:p>
    <w:p w14:paraId="1FE77266" w14:textId="77777777" w:rsidR="003753A9" w:rsidRDefault="00000000">
      <w:pPr>
        <w:pBdr>
          <w:top w:val="nil"/>
          <w:left w:val="nil"/>
          <w:bottom w:val="nil"/>
          <w:right w:val="nil"/>
          <w:between w:val="nil"/>
        </w:pBdr>
        <w:ind w:left="3538" w:firstLine="709"/>
        <w:jc w:val="center"/>
        <w:rPr>
          <w:rFonts w:ascii="Verdana" w:eastAsia="Verdana" w:hAnsi="Verdana" w:cs="Verdana"/>
          <w:color w:val="000000"/>
          <w:sz w:val="16"/>
          <w:szCs w:val="16"/>
        </w:rPr>
      </w:pPr>
      <w:r>
        <w:rPr>
          <w:rFonts w:ascii="Verdana" w:eastAsia="Verdana" w:hAnsi="Verdana" w:cs="Verdana"/>
          <w:color w:val="000000"/>
          <w:sz w:val="16"/>
          <w:szCs w:val="16"/>
        </w:rPr>
        <w:t xml:space="preserve">Firma autografa sostituita a mezzo stampa </w:t>
      </w:r>
    </w:p>
    <w:p w14:paraId="0D1C6556" w14:textId="77777777" w:rsidR="003753A9" w:rsidRDefault="00000000">
      <w:pPr>
        <w:pBdr>
          <w:top w:val="nil"/>
          <w:left w:val="nil"/>
          <w:bottom w:val="nil"/>
          <w:right w:val="nil"/>
          <w:between w:val="nil"/>
        </w:pBdr>
        <w:ind w:left="3538" w:firstLine="709"/>
        <w:jc w:val="center"/>
        <w:rPr>
          <w:rFonts w:ascii="Verdana" w:eastAsia="Verdana" w:hAnsi="Verdana" w:cs="Verdana"/>
          <w:color w:val="000000"/>
          <w:sz w:val="16"/>
          <w:szCs w:val="16"/>
        </w:rPr>
      </w:pPr>
      <w:r>
        <w:rPr>
          <w:rFonts w:ascii="Verdana" w:eastAsia="Verdana" w:hAnsi="Verdana" w:cs="Verdana"/>
          <w:color w:val="000000"/>
          <w:sz w:val="16"/>
          <w:szCs w:val="16"/>
        </w:rPr>
        <w:t>ai sensi dell’art.3 c.2 D. Lgs 39/93</w:t>
      </w:r>
    </w:p>
    <w:p w14:paraId="15684326"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5BE4D767"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75287902"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2CB745D4"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0DFE927C"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7A4668EC"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7A3429AE" w14:textId="77777777" w:rsidR="003753A9" w:rsidRDefault="003753A9">
      <w:pPr>
        <w:pBdr>
          <w:top w:val="nil"/>
          <w:left w:val="nil"/>
          <w:bottom w:val="nil"/>
          <w:right w:val="nil"/>
          <w:between w:val="nil"/>
        </w:pBdr>
        <w:spacing w:after="23"/>
        <w:ind w:left="257" w:right="218" w:hanging="10"/>
        <w:jc w:val="both"/>
        <w:rPr>
          <w:color w:val="000000"/>
          <w:sz w:val="24"/>
          <w:szCs w:val="24"/>
        </w:rPr>
      </w:pPr>
    </w:p>
    <w:p w14:paraId="3E2FF378" w14:textId="77777777" w:rsidR="003753A9" w:rsidRDefault="00000000">
      <w:pPr>
        <w:pBdr>
          <w:top w:val="nil"/>
          <w:left w:val="nil"/>
          <w:bottom w:val="nil"/>
          <w:right w:val="nil"/>
          <w:between w:val="nil"/>
        </w:pBdr>
        <w:spacing w:after="160" w:line="252" w:lineRule="auto"/>
        <w:rPr>
          <w:rFonts w:ascii="Calibri" w:eastAsia="Calibri" w:hAnsi="Calibri" w:cs="Calibri"/>
          <w:color w:val="000000"/>
          <w:sz w:val="16"/>
          <w:szCs w:val="16"/>
        </w:rPr>
      </w:pPr>
      <w:r>
        <w:rPr>
          <w:rFonts w:ascii="Calibri" w:eastAsia="Calibri" w:hAnsi="Calibri" w:cs="Calibri"/>
          <w:color w:val="000000"/>
          <w:sz w:val="16"/>
          <w:szCs w:val="16"/>
        </w:rPr>
        <w:t xml:space="preserve">                               </w:t>
      </w:r>
    </w:p>
    <w:p w14:paraId="0ED66D31" w14:textId="77777777" w:rsidR="003753A9" w:rsidRDefault="00000000">
      <w:pPr>
        <w:pBdr>
          <w:top w:val="nil"/>
          <w:left w:val="nil"/>
          <w:bottom w:val="nil"/>
          <w:right w:val="nil"/>
          <w:between w:val="nil"/>
        </w:pBdr>
        <w:spacing w:after="14" w:line="276" w:lineRule="auto"/>
        <w:ind w:right="108"/>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sectPr w:rsidR="003753A9">
      <w:headerReference w:type="default" r:id="rId9"/>
      <w:pgSz w:w="11906" w:h="16838"/>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BE953" w14:textId="77777777" w:rsidR="002E6AB3" w:rsidRDefault="002E6AB3">
      <w:r>
        <w:separator/>
      </w:r>
    </w:p>
  </w:endnote>
  <w:endnote w:type="continuationSeparator" w:id="0">
    <w:p w14:paraId="262E1AD9" w14:textId="77777777" w:rsidR="002E6AB3" w:rsidRDefault="002E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962E4AC-3DE1-4502-AB68-FC8A508BC55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B210EF-210F-405F-A172-1D058CAA15D0}"/>
  </w:font>
  <w:font w:name="Georgia">
    <w:panose1 w:val="02040502050405020303"/>
    <w:charset w:val="00"/>
    <w:family w:val="roman"/>
    <w:pitch w:val="variable"/>
    <w:sig w:usb0="00000287" w:usb1="00000000" w:usb2="00000000" w:usb3="00000000" w:csb0="0000009F" w:csb1="00000000"/>
    <w:embedRegular r:id="rId3" w:fontKey="{CA47C5B4-AE0C-4B6D-8945-751EAB85442E}"/>
    <w:embedItalic r:id="rId4" w:fontKey="{B67E650C-2FC6-463E-961E-F52B65AF2221}"/>
  </w:font>
  <w:font w:name="Verdana">
    <w:panose1 w:val="020B0604030504040204"/>
    <w:charset w:val="00"/>
    <w:family w:val="swiss"/>
    <w:pitch w:val="variable"/>
    <w:sig w:usb0="A00006FF" w:usb1="4000205B" w:usb2="00000010" w:usb3="00000000" w:csb0="0000019F" w:csb1="00000000"/>
    <w:embedRegular r:id="rId5" w:fontKey="{A9BB5F8E-6328-46CF-A7E3-1FBA04E711E7}"/>
    <w:embedItalic r:id="rId6" w:fontKey="{5DB5A630-01FA-4D26-A28A-F850FDEB0A5E}"/>
    <w:embedBoldItalic r:id="rId7" w:fontKey="{709BA31C-6186-48D0-8876-754BFF94E4E5}"/>
  </w:font>
  <w:font w:name="Cambria">
    <w:panose1 w:val="02040503050406030204"/>
    <w:charset w:val="00"/>
    <w:family w:val="roman"/>
    <w:pitch w:val="variable"/>
    <w:sig w:usb0="E00006FF" w:usb1="420024FF" w:usb2="02000000" w:usb3="00000000" w:csb0="0000019F" w:csb1="00000000"/>
    <w:embedRegular r:id="rId8" w:fontKey="{771654C9-8FB9-4D00-BFFF-5D3EBE7E45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F324C" w14:textId="77777777" w:rsidR="002E6AB3" w:rsidRDefault="002E6AB3">
      <w:r>
        <w:separator/>
      </w:r>
    </w:p>
  </w:footnote>
  <w:footnote w:type="continuationSeparator" w:id="0">
    <w:p w14:paraId="6DBEC0ED" w14:textId="77777777" w:rsidR="002E6AB3" w:rsidRDefault="002E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53A8" w14:textId="77777777" w:rsidR="003753A9" w:rsidRDefault="003753A9">
    <w:pPr>
      <w:pBdr>
        <w:top w:val="nil"/>
        <w:left w:val="nil"/>
        <w:bottom w:val="nil"/>
        <w:right w:val="nil"/>
        <w:between w:val="nil"/>
      </w:pBdr>
      <w:tabs>
        <w:tab w:val="center" w:pos="4819"/>
        <w:tab w:val="right" w:pos="9638"/>
      </w:tabs>
      <w:spacing w:after="160" w:line="252"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176E5"/>
    <w:multiLevelType w:val="multilevel"/>
    <w:tmpl w:val="F406271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A151853"/>
    <w:multiLevelType w:val="multilevel"/>
    <w:tmpl w:val="A70285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987340C"/>
    <w:multiLevelType w:val="multilevel"/>
    <w:tmpl w:val="0102FDAE"/>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6571114"/>
    <w:multiLevelType w:val="multilevel"/>
    <w:tmpl w:val="44329A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34B607B"/>
    <w:multiLevelType w:val="multilevel"/>
    <w:tmpl w:val="3E3E1BE8"/>
    <w:lvl w:ilvl="0">
      <w:start w:val="7"/>
      <w:numFmt w:val="bullet"/>
      <w:lvlText w:val="-"/>
      <w:lvlJc w:val="left"/>
      <w:pPr>
        <w:ind w:left="345" w:hanging="360"/>
      </w:pPr>
      <w:rPr>
        <w:rFonts w:ascii="Times New Roman" w:eastAsia="Times New Roman" w:hAnsi="Times New Roman" w:cs="Times New Roman"/>
        <w:color w:val="00000A"/>
        <w:sz w:val="24"/>
        <w:szCs w:val="24"/>
        <w:vertAlign w:val="baseline"/>
      </w:rPr>
    </w:lvl>
    <w:lvl w:ilvl="1">
      <w:start w:val="1"/>
      <w:numFmt w:val="bullet"/>
      <w:lvlText w:val="o"/>
      <w:lvlJc w:val="left"/>
      <w:pPr>
        <w:ind w:left="1065" w:hanging="360"/>
      </w:pPr>
      <w:rPr>
        <w:rFonts w:ascii="Courier New" w:eastAsia="Courier New" w:hAnsi="Courier New" w:cs="Courier New"/>
        <w:vertAlign w:val="baseline"/>
      </w:rPr>
    </w:lvl>
    <w:lvl w:ilvl="2">
      <w:start w:val="1"/>
      <w:numFmt w:val="bullet"/>
      <w:lvlText w:val="▪"/>
      <w:lvlJc w:val="left"/>
      <w:pPr>
        <w:ind w:left="1785" w:hanging="360"/>
      </w:pPr>
      <w:rPr>
        <w:rFonts w:ascii="Noto Sans Symbols" w:eastAsia="Noto Sans Symbols" w:hAnsi="Noto Sans Symbols" w:cs="Noto Sans Symbols"/>
        <w:vertAlign w:val="baseline"/>
      </w:rPr>
    </w:lvl>
    <w:lvl w:ilvl="3">
      <w:start w:val="1"/>
      <w:numFmt w:val="bullet"/>
      <w:lvlText w:val="●"/>
      <w:lvlJc w:val="left"/>
      <w:pPr>
        <w:ind w:left="2505" w:hanging="360"/>
      </w:pPr>
      <w:rPr>
        <w:rFonts w:ascii="Noto Sans Symbols" w:eastAsia="Noto Sans Symbols" w:hAnsi="Noto Sans Symbols" w:cs="Noto Sans Symbols"/>
        <w:vertAlign w:val="baseline"/>
      </w:rPr>
    </w:lvl>
    <w:lvl w:ilvl="4">
      <w:start w:val="1"/>
      <w:numFmt w:val="bullet"/>
      <w:lvlText w:val="o"/>
      <w:lvlJc w:val="left"/>
      <w:pPr>
        <w:ind w:left="3225" w:hanging="360"/>
      </w:pPr>
      <w:rPr>
        <w:rFonts w:ascii="Courier New" w:eastAsia="Courier New" w:hAnsi="Courier New" w:cs="Courier New"/>
        <w:vertAlign w:val="baseline"/>
      </w:rPr>
    </w:lvl>
    <w:lvl w:ilvl="5">
      <w:start w:val="1"/>
      <w:numFmt w:val="bullet"/>
      <w:lvlText w:val="▪"/>
      <w:lvlJc w:val="left"/>
      <w:pPr>
        <w:ind w:left="3945" w:hanging="360"/>
      </w:pPr>
      <w:rPr>
        <w:rFonts w:ascii="Noto Sans Symbols" w:eastAsia="Noto Sans Symbols" w:hAnsi="Noto Sans Symbols" w:cs="Noto Sans Symbols"/>
        <w:vertAlign w:val="baseline"/>
      </w:rPr>
    </w:lvl>
    <w:lvl w:ilvl="6">
      <w:start w:val="1"/>
      <w:numFmt w:val="bullet"/>
      <w:lvlText w:val="●"/>
      <w:lvlJc w:val="left"/>
      <w:pPr>
        <w:ind w:left="4665" w:hanging="360"/>
      </w:pPr>
      <w:rPr>
        <w:rFonts w:ascii="Noto Sans Symbols" w:eastAsia="Noto Sans Symbols" w:hAnsi="Noto Sans Symbols" w:cs="Noto Sans Symbols"/>
        <w:vertAlign w:val="baseline"/>
      </w:rPr>
    </w:lvl>
    <w:lvl w:ilvl="7">
      <w:start w:val="1"/>
      <w:numFmt w:val="bullet"/>
      <w:lvlText w:val="o"/>
      <w:lvlJc w:val="left"/>
      <w:pPr>
        <w:ind w:left="5385" w:hanging="360"/>
      </w:pPr>
      <w:rPr>
        <w:rFonts w:ascii="Courier New" w:eastAsia="Courier New" w:hAnsi="Courier New" w:cs="Courier New"/>
        <w:vertAlign w:val="baseline"/>
      </w:rPr>
    </w:lvl>
    <w:lvl w:ilvl="8">
      <w:start w:val="1"/>
      <w:numFmt w:val="bullet"/>
      <w:lvlText w:val="▪"/>
      <w:lvlJc w:val="left"/>
      <w:pPr>
        <w:ind w:left="6105" w:hanging="360"/>
      </w:pPr>
      <w:rPr>
        <w:rFonts w:ascii="Noto Sans Symbols" w:eastAsia="Noto Sans Symbols" w:hAnsi="Noto Sans Symbols" w:cs="Noto Sans Symbols"/>
        <w:vertAlign w:val="baseline"/>
      </w:rPr>
    </w:lvl>
  </w:abstractNum>
  <w:abstractNum w:abstractNumId="5" w15:restartNumberingAfterBreak="0">
    <w:nsid w:val="76ED2966"/>
    <w:multiLevelType w:val="multilevel"/>
    <w:tmpl w:val="B00662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29516996">
    <w:abstractNumId w:val="3"/>
  </w:num>
  <w:num w:numId="2" w16cid:durableId="1699577354">
    <w:abstractNumId w:val="1"/>
  </w:num>
  <w:num w:numId="3" w16cid:durableId="1612201177">
    <w:abstractNumId w:val="5"/>
  </w:num>
  <w:num w:numId="4" w16cid:durableId="1255701550">
    <w:abstractNumId w:val="4"/>
  </w:num>
  <w:num w:numId="5" w16cid:durableId="1584802019">
    <w:abstractNumId w:val="0"/>
  </w:num>
  <w:num w:numId="6" w16cid:durableId="1783300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3A9"/>
    <w:rsid w:val="002928B6"/>
    <w:rsid w:val="002E6AB3"/>
    <w:rsid w:val="00314E66"/>
    <w:rsid w:val="00323AD1"/>
    <w:rsid w:val="0032513A"/>
    <w:rsid w:val="003753A9"/>
    <w:rsid w:val="009970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59698"/>
  <w15:docId w15:val="{409C5D7B-57BB-4C55-A932-2F622007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pBdr>
        <w:top w:val="nil"/>
        <w:left w:val="nil"/>
        <w:bottom w:val="nil"/>
        <w:right w:val="nil"/>
        <w:between w:val="nil"/>
      </w:pBdr>
      <w:spacing w:after="80"/>
    </w:pPr>
    <w:rPr>
      <w:rFonts w:ascii="Calibri" w:eastAsia="Calibri" w:hAnsi="Calibri" w:cs="Calibri"/>
      <w:color w:val="000000"/>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2380</Words>
  <Characters>13569</Characters>
  <Application>Microsoft Office Word</Application>
  <DocSecurity>0</DocSecurity>
  <Lines>113</Lines>
  <Paragraphs>31</Paragraphs>
  <ScaleCrop>false</ScaleCrop>
  <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Vicario2</dc:creator>
  <cp:lastModifiedBy>Utente41</cp:lastModifiedBy>
  <cp:revision>2</cp:revision>
  <dcterms:created xsi:type="dcterms:W3CDTF">2025-10-17T08:55:00Z</dcterms:created>
  <dcterms:modified xsi:type="dcterms:W3CDTF">2025-10-17T08:55:00Z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